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4A" w:rsidRDefault="001C194A"/>
    <w:p w:rsidR="0061612D" w:rsidRDefault="00ED6953" w:rsidP="00BE353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PEDIDO DE MATERIAL </w:t>
      </w:r>
      <w:r w:rsidR="00BE3538">
        <w:rPr>
          <w:rFonts w:ascii="Calibri" w:hAnsi="Calibri"/>
          <w:b/>
          <w:sz w:val="22"/>
          <w:szCs w:val="22"/>
        </w:rPr>
        <w:t>O SUMINISTRO</w:t>
      </w:r>
      <w:r w:rsidR="007B6A55">
        <w:rPr>
          <w:rFonts w:ascii="Calibri" w:hAnsi="Calibri"/>
          <w:b/>
          <w:sz w:val="22"/>
          <w:szCs w:val="22"/>
        </w:rPr>
        <w:t xml:space="preserve"> / MATERIAL EDO HORNIKUNTZA ESKAERA</w:t>
      </w:r>
    </w:p>
    <w:p w:rsidR="001C194A" w:rsidRDefault="001C194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56"/>
        <w:gridCol w:w="685"/>
        <w:gridCol w:w="595"/>
        <w:gridCol w:w="3931"/>
        <w:gridCol w:w="22"/>
      </w:tblGrid>
      <w:tr w:rsidR="001C194A" w:rsidRPr="00C64E75" w:rsidTr="007B6A55">
        <w:tc>
          <w:tcPr>
            <w:tcW w:w="4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Pr="00C64E75" w:rsidRDefault="00ED6953" w:rsidP="00BC76FC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E75">
              <w:rPr>
                <w:rFonts w:ascii="Calibri" w:hAnsi="Calibri"/>
                <w:b/>
                <w:sz w:val="18"/>
                <w:szCs w:val="18"/>
              </w:rPr>
              <w:t>Entidad solicitante (facturación)</w:t>
            </w:r>
            <w:r w:rsidR="007B6A55" w:rsidRPr="00C64E75">
              <w:rPr>
                <w:rFonts w:ascii="Calibri" w:hAnsi="Calibri"/>
                <w:b/>
                <w:sz w:val="18"/>
                <w:szCs w:val="18"/>
              </w:rPr>
              <w:t xml:space="preserve"> / </w:t>
            </w:r>
            <w:proofErr w:type="spellStart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>Erakunde</w:t>
            </w:r>
            <w:proofErr w:type="spellEnd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>eskatzaileta</w:t>
            </w:r>
            <w:proofErr w:type="spellEnd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proofErr w:type="spellStart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>fakturazioa</w:t>
            </w:r>
            <w:proofErr w:type="spellEnd"/>
            <w:r w:rsidR="0061612D" w:rsidRPr="00C64E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Pr="00C64E75" w:rsidRDefault="003F0ED3" w:rsidP="00BC76FC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E75">
              <w:rPr>
                <w:rFonts w:ascii="Calibri" w:hAnsi="Calibri"/>
                <w:b/>
                <w:sz w:val="18"/>
                <w:szCs w:val="18"/>
              </w:rPr>
              <w:t xml:space="preserve">Datos Proveedor / </w:t>
            </w:r>
            <w:proofErr w:type="spellStart"/>
            <w:r w:rsidR="00BC76FC" w:rsidRPr="00C64E75">
              <w:rPr>
                <w:rFonts w:ascii="Calibri" w:hAnsi="Calibri"/>
                <w:b/>
                <w:sz w:val="18"/>
                <w:szCs w:val="18"/>
              </w:rPr>
              <w:t>Hornitzailearen</w:t>
            </w:r>
            <w:proofErr w:type="spellEnd"/>
            <w:r w:rsidR="00BC76FC" w:rsidRPr="00C64E75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="00BC76FC" w:rsidRPr="00C64E75">
              <w:rPr>
                <w:rFonts w:ascii="Calibri" w:hAnsi="Calibri"/>
                <w:b/>
                <w:sz w:val="18"/>
                <w:szCs w:val="18"/>
              </w:rPr>
              <w:t>datuak</w:t>
            </w:r>
            <w:proofErr w:type="spellEnd"/>
          </w:p>
        </w:tc>
      </w:tr>
      <w:tr w:rsidR="001C194A" w:rsidRPr="00C64E75" w:rsidTr="007B6A55">
        <w:tc>
          <w:tcPr>
            <w:tcW w:w="4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C76FC" w:rsidRPr="00C64E75" w:rsidRDefault="00BC76FC" w:rsidP="00BC76FC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>Universidad Pública de Navarra</w:t>
            </w:r>
          </w:p>
          <w:p w:rsidR="00BC76FC" w:rsidRPr="00C64E75" w:rsidRDefault="00BC76FC" w:rsidP="00BC76FC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>Campus Arrosadía s/n</w:t>
            </w:r>
          </w:p>
          <w:p w:rsidR="00BC76FC" w:rsidRPr="00C64E75" w:rsidRDefault="00BC76FC" w:rsidP="00BC76FC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>31006 – Pamplona (Navarra)</w:t>
            </w:r>
          </w:p>
          <w:p w:rsidR="00883C9F" w:rsidRPr="00C64E75" w:rsidRDefault="00BC76FC" w:rsidP="00BC76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>NIF Q-3150012-G</w:t>
            </w:r>
          </w:p>
          <w:p w:rsidR="00C64E75" w:rsidRDefault="00C64E75" w:rsidP="00F9189E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9189E" w:rsidRPr="00C64E75" w:rsidRDefault="00F9189E" w:rsidP="00F9189E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E75">
              <w:rPr>
                <w:rFonts w:ascii="Calibri" w:hAnsi="Calibri"/>
                <w:b/>
                <w:sz w:val="18"/>
                <w:szCs w:val="18"/>
              </w:rPr>
              <w:t xml:space="preserve">Enviar pedido a: / </w:t>
            </w:r>
            <w:proofErr w:type="spellStart"/>
            <w:r w:rsidRPr="00C64E75">
              <w:rPr>
                <w:rFonts w:ascii="Calibri" w:hAnsi="Calibri"/>
                <w:b/>
                <w:sz w:val="18"/>
                <w:szCs w:val="18"/>
              </w:rPr>
              <w:t>Eskaera</w:t>
            </w:r>
            <w:proofErr w:type="spellEnd"/>
            <w:r w:rsidRPr="00C64E75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b/>
                <w:sz w:val="18"/>
                <w:szCs w:val="18"/>
              </w:rPr>
              <w:t>bidali</w:t>
            </w:r>
            <w:proofErr w:type="spellEnd"/>
            <w:r w:rsidRPr="00C64E75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b/>
                <w:sz w:val="18"/>
                <w:szCs w:val="18"/>
              </w:rPr>
              <w:t>hona</w:t>
            </w:r>
            <w:proofErr w:type="spellEnd"/>
            <w:r w:rsidRPr="00C64E75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3C9F" w:rsidRPr="00C64E75" w:rsidRDefault="00883C9F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F0ED3" w:rsidRPr="00C64E75" w:rsidRDefault="003F0ED3" w:rsidP="00F918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26FAB" w:rsidRPr="00C64E75" w:rsidRDefault="00D26FAB" w:rsidP="003F0E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4E75" w:rsidTr="00C64E75">
        <w:trPr>
          <w:gridAfter w:val="1"/>
          <w:wAfter w:w="22" w:type="dxa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64E75" w:rsidRPr="00A47DBF" w:rsidRDefault="00C64E7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47DBF">
              <w:rPr>
                <w:rFonts w:ascii="Calibri" w:hAnsi="Calibri"/>
                <w:b/>
                <w:sz w:val="18"/>
                <w:szCs w:val="18"/>
              </w:rPr>
              <w:t>Facturación electrónica obligatoria /</w:t>
            </w:r>
          </w:p>
          <w:p w:rsidR="00C64E75" w:rsidRPr="00A47DBF" w:rsidRDefault="00C64E75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Eskaera</w:t>
            </w:r>
            <w:proofErr w:type="spellEnd"/>
            <w:r w:rsidRPr="00A47DB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honen</w:t>
            </w:r>
            <w:proofErr w:type="spellEnd"/>
            <w:r w:rsidRPr="00A47DB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fakturetan</w:t>
            </w:r>
            <w:proofErr w:type="spellEnd"/>
            <w:r w:rsidRPr="00A47DBF">
              <w:rPr>
                <w:rFonts w:ascii="Calibri" w:hAnsi="Calibri"/>
                <w:b/>
                <w:sz w:val="18"/>
                <w:szCs w:val="18"/>
              </w:rPr>
              <w:t xml:space="preserve"> jaso </w:t>
            </w: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beharreko</w:t>
            </w:r>
            <w:proofErr w:type="spellEnd"/>
            <w:r w:rsidRPr="00A47DB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kodeak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64E75" w:rsidRPr="00A47DBF" w:rsidRDefault="00C64E75" w:rsidP="00C64E7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</w:t>
            </w:r>
            <w:r w:rsidRPr="00A47DBF">
              <w:rPr>
                <w:rFonts w:ascii="Calibri" w:hAnsi="Calibri"/>
                <w:b/>
                <w:sz w:val="18"/>
                <w:szCs w:val="18"/>
              </w:rPr>
              <w:t>ódigo/</w:t>
            </w:r>
            <w:proofErr w:type="spellStart"/>
            <w:r w:rsidRPr="00A47DBF">
              <w:rPr>
                <w:rFonts w:ascii="Calibri" w:hAnsi="Calibri"/>
                <w:b/>
                <w:sz w:val="18"/>
                <w:szCs w:val="18"/>
              </w:rPr>
              <w:t>Kodea</w:t>
            </w:r>
            <w:proofErr w:type="spellEnd"/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E75" w:rsidRPr="00A47DBF" w:rsidRDefault="00C64E75" w:rsidP="00C64E7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Fecha de pedido/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Eskaera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eguna</w:t>
            </w:r>
            <w:proofErr w:type="spellEnd"/>
          </w:p>
        </w:tc>
      </w:tr>
      <w:tr w:rsidR="00C64E75" w:rsidRPr="00C64E75" w:rsidTr="00C64E75">
        <w:trPr>
          <w:gridAfter w:val="1"/>
          <w:wAfter w:w="22" w:type="dxa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64E75" w:rsidRPr="00C64E75" w:rsidRDefault="00C64E75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Oficina contable 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Kontabilitate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bulegoa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bottom"/>
          </w:tcPr>
          <w:p w:rsidR="00C64E75" w:rsidRPr="00C64E75" w:rsidRDefault="00C64E75" w:rsidP="006337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64E75" w:rsidRPr="00C64E75" w:rsidRDefault="00C64E75" w:rsidP="00C64E7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Fecha de </w:t>
            </w:r>
            <w:r>
              <w:rPr>
                <w:rFonts w:ascii="Calibri" w:hAnsi="Calibri"/>
                <w:sz w:val="20"/>
                <w:szCs w:val="20"/>
              </w:rPr>
              <w:t>entrega</w:t>
            </w:r>
            <w:r w:rsidRPr="00C64E7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Emateko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eguna</w:t>
            </w:r>
            <w:proofErr w:type="spellEnd"/>
          </w:p>
        </w:tc>
      </w:tr>
      <w:tr w:rsidR="00CC13C1" w:rsidRPr="00C64E75" w:rsidTr="00C64E75">
        <w:trPr>
          <w:gridAfter w:val="1"/>
          <w:wAfter w:w="22" w:type="dxa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C13C1" w:rsidRPr="00C64E75" w:rsidRDefault="00CC13C1" w:rsidP="00CC13C1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Órgano gestor 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Organo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gestorea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bottom"/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C13C1" w:rsidRPr="00C64E75" w:rsidTr="00C64E75">
        <w:trPr>
          <w:gridAfter w:val="1"/>
          <w:wAfter w:w="22" w:type="dxa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C13C1" w:rsidRPr="00C64E75" w:rsidRDefault="00CC13C1" w:rsidP="00CC13C1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>Uni</w:t>
            </w:r>
            <w:bookmarkStart w:id="0" w:name="_GoBack"/>
            <w:bookmarkEnd w:id="0"/>
            <w:r w:rsidRPr="00C64E75">
              <w:rPr>
                <w:rFonts w:ascii="Calibri" w:hAnsi="Calibri"/>
                <w:sz w:val="20"/>
                <w:szCs w:val="20"/>
              </w:rPr>
              <w:t xml:space="preserve">dad tramitadora 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Unitate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izapidegilea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bottom"/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Nº expediente 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Espediente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zk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C13C1" w:rsidRPr="00C64E75" w:rsidTr="00C64E75">
        <w:trPr>
          <w:gridAfter w:val="1"/>
          <w:wAfter w:w="22" w:type="dxa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C13C1" w:rsidRPr="00C64E75" w:rsidRDefault="00CC13C1" w:rsidP="00CC13C1">
            <w:pPr>
              <w:rPr>
                <w:rFonts w:ascii="Calibri" w:hAnsi="Calibri"/>
                <w:sz w:val="20"/>
                <w:szCs w:val="20"/>
              </w:rPr>
            </w:pPr>
            <w:r w:rsidRPr="00C64E75">
              <w:rPr>
                <w:rFonts w:ascii="Calibri" w:hAnsi="Calibri"/>
                <w:sz w:val="20"/>
                <w:szCs w:val="20"/>
              </w:rPr>
              <w:t xml:space="preserve">Órgano proponente /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Organo</w:t>
            </w:r>
            <w:proofErr w:type="spellEnd"/>
            <w:r w:rsidRPr="00C64E7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64E75">
              <w:rPr>
                <w:rFonts w:ascii="Calibri" w:hAnsi="Calibri"/>
                <w:sz w:val="20"/>
                <w:szCs w:val="20"/>
              </w:rPr>
              <w:t>proposatzailea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bottom"/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13C1" w:rsidRPr="00C64E75" w:rsidRDefault="00CC13C1" w:rsidP="00CC1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EA3540" w:rsidRDefault="00EA3540">
      <w:pPr>
        <w:rPr>
          <w:rFonts w:ascii="Calibri" w:hAnsi="Calibri"/>
          <w:sz w:val="22"/>
          <w:szCs w:val="22"/>
        </w:rPr>
      </w:pPr>
    </w:p>
    <w:p w:rsidR="006337D8" w:rsidRPr="00C64E75" w:rsidRDefault="00BE3538" w:rsidP="00396269">
      <w:pPr>
        <w:jc w:val="both"/>
        <w:rPr>
          <w:rFonts w:ascii="Calibri" w:hAnsi="Calibri"/>
          <w:sz w:val="20"/>
          <w:szCs w:val="20"/>
        </w:rPr>
      </w:pPr>
      <w:r w:rsidRPr="00C64E75">
        <w:rPr>
          <w:rFonts w:ascii="Calibri" w:hAnsi="Calibri"/>
          <w:sz w:val="20"/>
          <w:szCs w:val="20"/>
        </w:rPr>
        <w:t xml:space="preserve">Más información en la Sede Electrónica de la </w:t>
      </w:r>
      <w:proofErr w:type="spellStart"/>
      <w:r w:rsidRPr="00C64E75">
        <w:rPr>
          <w:rFonts w:ascii="Calibri" w:hAnsi="Calibri"/>
          <w:sz w:val="20"/>
          <w:szCs w:val="20"/>
        </w:rPr>
        <w:t>Upna</w:t>
      </w:r>
      <w:proofErr w:type="spellEnd"/>
      <w:r w:rsidRPr="00C64E75">
        <w:rPr>
          <w:rFonts w:ascii="Calibri" w:hAnsi="Calibri"/>
          <w:sz w:val="20"/>
          <w:szCs w:val="20"/>
        </w:rPr>
        <w:t xml:space="preserve"> acerca de la presentación de facturas:</w:t>
      </w:r>
      <w:r w:rsidR="007B6A55" w:rsidRPr="00C64E75">
        <w:rPr>
          <w:rFonts w:ascii="Calibri" w:hAnsi="Calibri"/>
          <w:sz w:val="20"/>
          <w:szCs w:val="20"/>
        </w:rPr>
        <w:t xml:space="preserve"> / </w:t>
      </w:r>
      <w:proofErr w:type="spellStart"/>
      <w:r w:rsidR="006337D8" w:rsidRPr="00C64E75">
        <w:rPr>
          <w:rFonts w:ascii="Calibri" w:hAnsi="Calibri"/>
          <w:sz w:val="20"/>
          <w:szCs w:val="20"/>
        </w:rPr>
        <w:t>Fakturak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aurkezteari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buruzko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informazio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gehiago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, </w:t>
      </w:r>
      <w:proofErr w:type="spellStart"/>
      <w:r w:rsidR="006337D8" w:rsidRPr="00C64E75">
        <w:rPr>
          <w:rFonts w:ascii="Calibri" w:hAnsi="Calibri"/>
          <w:sz w:val="20"/>
          <w:szCs w:val="20"/>
        </w:rPr>
        <w:t>NUPeko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egoitzan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elektrikoan</w:t>
      </w:r>
      <w:proofErr w:type="spellEnd"/>
      <w:r w:rsidR="006337D8" w:rsidRPr="00C64E75">
        <w:rPr>
          <w:rFonts w:ascii="Calibri" w:hAnsi="Calibri"/>
          <w:sz w:val="20"/>
          <w:szCs w:val="20"/>
        </w:rPr>
        <w:t>:</w:t>
      </w:r>
    </w:p>
    <w:p w:rsidR="00ED6953" w:rsidRPr="00DE1895" w:rsidRDefault="00CC13C1">
      <w:pPr>
        <w:rPr>
          <w:rFonts w:ascii="Calibri" w:hAnsi="Calibri"/>
          <w:sz w:val="20"/>
          <w:szCs w:val="20"/>
        </w:rPr>
      </w:pPr>
      <w:hyperlink r:id="rId7" w:history="1">
        <w:r w:rsidR="00ED6953" w:rsidRPr="00DE1895">
          <w:rPr>
            <w:rStyle w:val="Hipervnculo"/>
            <w:rFonts w:ascii="Calibri" w:hAnsi="Calibri"/>
            <w:sz w:val="20"/>
            <w:szCs w:val="20"/>
          </w:rPr>
          <w:t>https://sedeelectronica.unavarra.es/sede/catalogo-de-procedimientos/todos/factura-electronica</w:t>
        </w:r>
      </w:hyperlink>
    </w:p>
    <w:p w:rsidR="00ED6953" w:rsidRDefault="00ED6953">
      <w:pPr>
        <w:rPr>
          <w:rFonts w:ascii="Calibri" w:hAnsi="Calibri"/>
          <w:sz w:val="22"/>
          <w:szCs w:val="22"/>
        </w:rPr>
      </w:pPr>
    </w:p>
    <w:p w:rsidR="00940061" w:rsidRPr="00C64E75" w:rsidRDefault="00ED6953">
      <w:pPr>
        <w:rPr>
          <w:rFonts w:ascii="Calibri" w:hAnsi="Calibri"/>
          <w:i/>
          <w:sz w:val="20"/>
          <w:szCs w:val="20"/>
        </w:rPr>
      </w:pPr>
      <w:r w:rsidRPr="00C64E75">
        <w:rPr>
          <w:rFonts w:ascii="Calibri" w:hAnsi="Calibri"/>
          <w:sz w:val="20"/>
          <w:szCs w:val="20"/>
        </w:rPr>
        <w:t xml:space="preserve">Muy Sres. Nuestros / </w:t>
      </w:r>
      <w:proofErr w:type="spellStart"/>
      <w:r w:rsidRPr="00C64E75">
        <w:rPr>
          <w:rFonts w:ascii="Calibri" w:hAnsi="Calibri"/>
          <w:i/>
          <w:sz w:val="20"/>
          <w:szCs w:val="20"/>
        </w:rPr>
        <w:t>Jaun</w:t>
      </w:r>
      <w:proofErr w:type="spellEnd"/>
      <w:r w:rsidRPr="00C64E75">
        <w:rPr>
          <w:rFonts w:ascii="Calibri" w:hAnsi="Calibri"/>
          <w:i/>
          <w:sz w:val="20"/>
          <w:szCs w:val="20"/>
        </w:rPr>
        <w:t xml:space="preserve"> – </w:t>
      </w:r>
      <w:proofErr w:type="spellStart"/>
      <w:r w:rsidRPr="00C64E75">
        <w:rPr>
          <w:rFonts w:ascii="Calibri" w:hAnsi="Calibri"/>
          <w:i/>
          <w:sz w:val="20"/>
          <w:szCs w:val="20"/>
        </w:rPr>
        <w:t>Andreak</w:t>
      </w:r>
      <w:proofErr w:type="spellEnd"/>
      <w:r w:rsidRPr="00C64E75">
        <w:rPr>
          <w:rFonts w:ascii="Calibri" w:hAnsi="Calibri"/>
          <w:i/>
          <w:sz w:val="20"/>
          <w:szCs w:val="20"/>
        </w:rPr>
        <w:t>:</w:t>
      </w:r>
    </w:p>
    <w:p w:rsidR="00535DDE" w:rsidRPr="00C64E75" w:rsidRDefault="00535DDE">
      <w:pPr>
        <w:rPr>
          <w:rFonts w:ascii="Calibri" w:hAnsi="Calibri"/>
          <w:i/>
          <w:sz w:val="20"/>
          <w:szCs w:val="20"/>
        </w:rPr>
      </w:pPr>
    </w:p>
    <w:p w:rsidR="00940061" w:rsidRPr="00C64E75" w:rsidRDefault="00ED6953" w:rsidP="008239C4">
      <w:pPr>
        <w:ind w:right="27"/>
        <w:jc w:val="both"/>
        <w:rPr>
          <w:rFonts w:ascii="Calibri" w:hAnsi="Calibri"/>
          <w:sz w:val="20"/>
          <w:szCs w:val="20"/>
        </w:rPr>
      </w:pPr>
      <w:r w:rsidRPr="00C64E75">
        <w:rPr>
          <w:rFonts w:ascii="Calibri" w:hAnsi="Calibri"/>
          <w:sz w:val="20"/>
          <w:szCs w:val="20"/>
        </w:rPr>
        <w:t xml:space="preserve">Rogamos procedan a suministrarnos el pedido adjunto se detalla, de acuerdo </w:t>
      </w:r>
      <w:r w:rsidRPr="00C64E75">
        <w:rPr>
          <w:rFonts w:ascii="Calibri" w:hAnsi="Calibri"/>
          <w:b/>
          <w:sz w:val="20"/>
          <w:szCs w:val="20"/>
        </w:rPr>
        <w:t xml:space="preserve">con las condiciones indicadas </w:t>
      </w:r>
      <w:r w:rsidR="00BE3538" w:rsidRPr="00C64E75">
        <w:rPr>
          <w:rFonts w:ascii="Calibri" w:hAnsi="Calibri"/>
          <w:b/>
          <w:sz w:val="20"/>
          <w:szCs w:val="20"/>
        </w:rPr>
        <w:t>en el siguiente link</w:t>
      </w:r>
      <w:r w:rsidRPr="00C64E75">
        <w:rPr>
          <w:rFonts w:ascii="Calibri" w:hAnsi="Calibri"/>
          <w:sz w:val="20"/>
          <w:szCs w:val="20"/>
        </w:rPr>
        <w:t xml:space="preserve"> / </w:t>
      </w:r>
      <w:proofErr w:type="spellStart"/>
      <w:r w:rsidR="006337D8" w:rsidRPr="00C64E75">
        <w:rPr>
          <w:rFonts w:ascii="Calibri" w:hAnsi="Calibri"/>
          <w:sz w:val="20"/>
          <w:szCs w:val="20"/>
        </w:rPr>
        <w:t>Arren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eskatzen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dizuegu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honekin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batera </w:t>
      </w:r>
      <w:proofErr w:type="spellStart"/>
      <w:r w:rsidR="006337D8" w:rsidRPr="00C64E75">
        <w:rPr>
          <w:rFonts w:ascii="Calibri" w:hAnsi="Calibri"/>
          <w:sz w:val="20"/>
          <w:szCs w:val="20"/>
        </w:rPr>
        <w:t>zehazten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den </w:t>
      </w:r>
      <w:proofErr w:type="spellStart"/>
      <w:r w:rsidR="006337D8" w:rsidRPr="00C64E75">
        <w:rPr>
          <w:rFonts w:ascii="Calibri" w:hAnsi="Calibri"/>
          <w:sz w:val="20"/>
          <w:szCs w:val="20"/>
        </w:rPr>
        <w:t>eskaera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bidal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sz w:val="20"/>
          <w:szCs w:val="20"/>
        </w:rPr>
        <w:t>diezaguzuela</w:t>
      </w:r>
      <w:proofErr w:type="spellEnd"/>
      <w:r w:rsidR="006337D8" w:rsidRPr="00C64E75">
        <w:rPr>
          <w:rFonts w:ascii="Calibri" w:hAnsi="Calibri"/>
          <w:sz w:val="20"/>
          <w:szCs w:val="20"/>
        </w:rPr>
        <w:t xml:space="preserve">,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esteka</w:t>
      </w:r>
      <w:proofErr w:type="spellEnd"/>
      <w:r w:rsidR="006337D8" w:rsidRPr="00C64E75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honetan</w:t>
      </w:r>
      <w:proofErr w:type="spellEnd"/>
      <w:r w:rsidR="006337D8" w:rsidRPr="00C64E75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aipatzen</w:t>
      </w:r>
      <w:proofErr w:type="spellEnd"/>
      <w:r w:rsidR="006337D8" w:rsidRPr="00C64E75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diren</w:t>
      </w:r>
      <w:proofErr w:type="spellEnd"/>
      <w:r w:rsidR="006337D8" w:rsidRPr="00C64E75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baldintzen</w:t>
      </w:r>
      <w:proofErr w:type="spellEnd"/>
      <w:r w:rsidR="006337D8" w:rsidRPr="00C64E75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6337D8" w:rsidRPr="00C64E75">
        <w:rPr>
          <w:rFonts w:ascii="Calibri" w:hAnsi="Calibri"/>
          <w:b/>
          <w:sz w:val="20"/>
          <w:szCs w:val="20"/>
        </w:rPr>
        <w:t>arabera</w:t>
      </w:r>
      <w:proofErr w:type="spellEnd"/>
      <w:r w:rsidR="006337D8" w:rsidRPr="00C64E75">
        <w:rPr>
          <w:rFonts w:ascii="Calibri" w:hAnsi="Calibri"/>
          <w:sz w:val="20"/>
          <w:szCs w:val="20"/>
        </w:rPr>
        <w:t>.</w:t>
      </w:r>
    </w:p>
    <w:p w:rsidR="00940061" w:rsidRPr="00DE1895" w:rsidRDefault="00CC13C1" w:rsidP="008239C4">
      <w:pPr>
        <w:ind w:right="27"/>
        <w:jc w:val="both"/>
        <w:rPr>
          <w:rFonts w:ascii="Calibri" w:hAnsi="Calibri"/>
          <w:sz w:val="20"/>
          <w:szCs w:val="20"/>
        </w:rPr>
      </w:pPr>
      <w:hyperlink r:id="rId8" w:history="1">
        <w:r w:rsidR="00940061" w:rsidRPr="00DE1895">
          <w:rPr>
            <w:rStyle w:val="Hipervnculo"/>
            <w:rFonts w:ascii="Calibri" w:hAnsi="Calibri"/>
            <w:sz w:val="20"/>
            <w:szCs w:val="20"/>
          </w:rPr>
          <w:t>http://www2.unavarra.es/gesadj/VPortalTransparencia/ServicioAAEE/DireccionServicio/CONDICIONES%20GENERALES%20DE%20COMPRA-1.pdf</w:t>
        </w:r>
      </w:hyperlink>
      <w:r w:rsidR="00940061" w:rsidRPr="00DE1895">
        <w:rPr>
          <w:rFonts w:ascii="Calibri" w:hAnsi="Calibri"/>
          <w:sz w:val="20"/>
          <w:szCs w:val="20"/>
        </w:rPr>
        <w:t xml:space="preserve"> </w:t>
      </w:r>
    </w:p>
    <w:p w:rsidR="001C194A" w:rsidRDefault="001C194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1"/>
        <w:gridCol w:w="4691"/>
        <w:gridCol w:w="1072"/>
        <w:gridCol w:w="1073"/>
        <w:gridCol w:w="1262"/>
      </w:tblGrid>
      <w:tr w:rsidR="001C194A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Cod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art.</w:t>
            </w:r>
          </w:p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Art.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Denominación</w:t>
            </w:r>
          </w:p>
          <w:p w:rsidR="001C194A" w:rsidRDefault="00ED695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Cantidad</w:t>
            </w:r>
          </w:p>
          <w:p w:rsidR="001C194A" w:rsidRDefault="00ED695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Kopurua</w:t>
            </w:r>
            <w:proofErr w:type="spellEnd"/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Precio</w:t>
            </w:r>
          </w:p>
          <w:p w:rsidR="001C194A" w:rsidRDefault="00ED695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Salneurria</w:t>
            </w:r>
            <w:proofErr w:type="spellEnd"/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ED69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Importe</w:t>
            </w:r>
          </w:p>
          <w:p w:rsidR="001C194A" w:rsidRDefault="00ED6953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Zenbatekoa</w:t>
            </w:r>
            <w:proofErr w:type="spellEnd"/>
          </w:p>
        </w:tc>
      </w:tr>
      <w:tr w:rsidR="001C194A">
        <w:trPr>
          <w:trHeight w:val="3298"/>
        </w:trPr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1C19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1C19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1C19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1C19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C194A" w:rsidRDefault="001C194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C194A" w:rsidRDefault="001C194A">
      <w:pPr>
        <w:rPr>
          <w:rFonts w:ascii="Calibri" w:hAnsi="Calibri"/>
        </w:rPr>
      </w:pPr>
    </w:p>
    <w:p w:rsidR="001C194A" w:rsidRPr="001B0CFF" w:rsidRDefault="00ED6953">
      <w:pPr>
        <w:rPr>
          <w:rFonts w:ascii="Calibri" w:hAnsi="Calibri"/>
          <w:sz w:val="20"/>
          <w:szCs w:val="20"/>
        </w:rPr>
      </w:pPr>
      <w:r w:rsidRPr="001B0CFF">
        <w:rPr>
          <w:rFonts w:ascii="Calibri" w:hAnsi="Calibri"/>
          <w:sz w:val="20"/>
          <w:szCs w:val="20"/>
        </w:rPr>
        <w:t xml:space="preserve">Pamplona, a </w:t>
      </w:r>
      <w:r w:rsidRPr="001B0CFF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1" w:name="Texto6"/>
      <w:bookmarkStart w:id="2" w:name="Texto61"/>
      <w:bookmarkEnd w:id="1"/>
      <w:r w:rsidRPr="001B0CFF">
        <w:rPr>
          <w:rFonts w:ascii="Calibri" w:hAnsi="Calibri"/>
          <w:sz w:val="20"/>
          <w:szCs w:val="20"/>
        </w:rPr>
        <w:t>     </w:t>
      </w:r>
      <w:r w:rsidRPr="001B0CFF">
        <w:rPr>
          <w:sz w:val="20"/>
          <w:szCs w:val="20"/>
        </w:rPr>
        <w:fldChar w:fldCharType="end"/>
      </w:r>
      <w:bookmarkEnd w:id="2"/>
      <w:r w:rsidRPr="001B0CFF">
        <w:rPr>
          <w:rFonts w:ascii="Calibri" w:hAnsi="Calibri"/>
          <w:sz w:val="20"/>
          <w:szCs w:val="20"/>
        </w:rPr>
        <w:t xml:space="preserve">de </w:t>
      </w:r>
      <w:r w:rsidRPr="001B0CFF">
        <w:rPr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3" w:name="Texto7"/>
      <w:bookmarkStart w:id="4" w:name="Texto71"/>
      <w:bookmarkEnd w:id="3"/>
      <w:r w:rsidRPr="001B0CFF">
        <w:rPr>
          <w:rFonts w:ascii="Calibri" w:hAnsi="Calibri"/>
          <w:sz w:val="20"/>
          <w:szCs w:val="20"/>
        </w:rPr>
        <w:t>     </w:t>
      </w:r>
      <w:proofErr w:type="spellStart"/>
      <w:r w:rsidRPr="001B0CFF">
        <w:rPr>
          <w:sz w:val="20"/>
          <w:szCs w:val="20"/>
        </w:rPr>
        <w:fldChar w:fldCharType="end"/>
      </w:r>
      <w:bookmarkEnd w:id="4"/>
      <w:r w:rsidRPr="001B0CFF">
        <w:rPr>
          <w:rFonts w:ascii="Calibri" w:hAnsi="Calibri"/>
          <w:sz w:val="20"/>
          <w:szCs w:val="20"/>
        </w:rPr>
        <w:t>de</w:t>
      </w:r>
      <w:proofErr w:type="spellEnd"/>
      <w:r w:rsidRPr="001B0CFF">
        <w:rPr>
          <w:rFonts w:ascii="Calibri" w:hAnsi="Calibri"/>
          <w:sz w:val="20"/>
          <w:szCs w:val="20"/>
        </w:rPr>
        <w:t xml:space="preserve"> 20</w:t>
      </w:r>
      <w:r w:rsidRPr="001B0CFF">
        <w:rPr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5" w:name="Texto8"/>
      <w:bookmarkStart w:id="6" w:name="Texto81"/>
      <w:bookmarkEnd w:id="5"/>
      <w:r w:rsidRPr="001B0CFF">
        <w:rPr>
          <w:rFonts w:ascii="Calibri" w:hAnsi="Calibri"/>
          <w:sz w:val="20"/>
          <w:szCs w:val="20"/>
        </w:rPr>
        <w:t>     </w:t>
      </w:r>
      <w:r w:rsidRPr="001B0CFF">
        <w:rPr>
          <w:sz w:val="20"/>
          <w:szCs w:val="20"/>
        </w:rPr>
        <w:fldChar w:fldCharType="end"/>
      </w:r>
      <w:bookmarkEnd w:id="6"/>
      <w:r w:rsidR="00A5515E" w:rsidRPr="001B0CFF">
        <w:rPr>
          <w:rFonts w:ascii="Calibri" w:hAnsi="Calibri"/>
          <w:sz w:val="20"/>
          <w:szCs w:val="20"/>
        </w:rPr>
        <w:t xml:space="preserve"> / </w:t>
      </w:r>
      <w:proofErr w:type="spellStart"/>
      <w:r w:rsidR="00A5515E" w:rsidRPr="001B0CFF">
        <w:rPr>
          <w:rFonts w:ascii="Calibri" w:hAnsi="Calibri"/>
          <w:sz w:val="20"/>
          <w:szCs w:val="20"/>
        </w:rPr>
        <w:t>Iru</w:t>
      </w:r>
      <w:r w:rsidRPr="001B0CFF">
        <w:rPr>
          <w:rFonts w:ascii="Calibri" w:hAnsi="Calibri"/>
          <w:sz w:val="20"/>
          <w:szCs w:val="20"/>
        </w:rPr>
        <w:t>ñean</w:t>
      </w:r>
      <w:proofErr w:type="spellEnd"/>
      <w:r w:rsidRPr="001B0CFF">
        <w:rPr>
          <w:rFonts w:ascii="Calibri" w:hAnsi="Calibri"/>
          <w:sz w:val="20"/>
          <w:szCs w:val="20"/>
        </w:rPr>
        <w:t>, 20</w:t>
      </w:r>
      <w:r w:rsidRPr="001B0CFF">
        <w:rPr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7" w:name="Texto9"/>
      <w:bookmarkStart w:id="8" w:name="Texto91"/>
      <w:bookmarkEnd w:id="7"/>
      <w:r w:rsidRPr="001B0CFF">
        <w:rPr>
          <w:rFonts w:ascii="Calibri" w:hAnsi="Calibri"/>
          <w:sz w:val="20"/>
          <w:szCs w:val="20"/>
        </w:rPr>
        <w:t>     </w:t>
      </w:r>
      <w:r w:rsidRPr="001B0CFF">
        <w:rPr>
          <w:sz w:val="20"/>
          <w:szCs w:val="20"/>
        </w:rPr>
        <w:fldChar w:fldCharType="end"/>
      </w:r>
      <w:bookmarkEnd w:id="8"/>
      <w:r w:rsidRPr="001B0CFF">
        <w:rPr>
          <w:rFonts w:ascii="Calibri" w:hAnsi="Calibri"/>
          <w:sz w:val="20"/>
          <w:szCs w:val="20"/>
        </w:rPr>
        <w:t>(e</w:t>
      </w:r>
      <w:proofErr w:type="gramStart"/>
      <w:r w:rsidRPr="001B0CFF">
        <w:rPr>
          <w:rFonts w:ascii="Calibri" w:hAnsi="Calibri"/>
          <w:sz w:val="20"/>
          <w:szCs w:val="20"/>
        </w:rPr>
        <w:t>)</w:t>
      </w:r>
      <w:proofErr w:type="spellStart"/>
      <w:r w:rsidRPr="001B0CFF">
        <w:rPr>
          <w:rFonts w:ascii="Calibri" w:hAnsi="Calibri"/>
          <w:sz w:val="20"/>
          <w:szCs w:val="20"/>
        </w:rPr>
        <w:t>ko</w:t>
      </w:r>
      <w:proofErr w:type="spellEnd"/>
      <w:proofErr w:type="gramEnd"/>
      <w:r w:rsidRPr="001B0CFF">
        <w:rPr>
          <w:rFonts w:ascii="Calibri" w:hAnsi="Calibri"/>
          <w:sz w:val="20"/>
          <w:szCs w:val="20"/>
        </w:rPr>
        <w:t xml:space="preserve"> </w:t>
      </w:r>
      <w:r w:rsidRPr="001B0CFF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9" w:name="Texto10"/>
      <w:bookmarkStart w:id="10" w:name="Texto101"/>
      <w:bookmarkEnd w:id="9"/>
      <w:r w:rsidRPr="001B0CFF">
        <w:rPr>
          <w:rFonts w:ascii="Calibri" w:hAnsi="Calibri"/>
          <w:sz w:val="20"/>
          <w:szCs w:val="20"/>
        </w:rPr>
        <w:t>     </w:t>
      </w:r>
      <w:r w:rsidRPr="001B0CFF">
        <w:rPr>
          <w:sz w:val="20"/>
          <w:szCs w:val="20"/>
        </w:rPr>
        <w:fldChar w:fldCharType="end"/>
      </w:r>
      <w:bookmarkEnd w:id="10"/>
      <w:r w:rsidRPr="001B0CFF">
        <w:rPr>
          <w:rFonts w:ascii="Calibri" w:hAnsi="Calibri"/>
          <w:sz w:val="20"/>
          <w:szCs w:val="20"/>
        </w:rPr>
        <w:t>aren</w:t>
      </w:r>
      <w:r w:rsidRPr="001B0CFF">
        <w:rPr>
          <w:sz w:val="20"/>
          <w:szCs w:val="20"/>
        </w:rPr>
        <w:fldChar w:fldCharType="begin">
          <w:ffData>
            <w:name w:val="__Fieldmark__307_581"/>
            <w:enabled/>
            <w:calcOnExit w:val="0"/>
            <w:textInput/>
          </w:ffData>
        </w:fldChar>
      </w:r>
      <w:r w:rsidRPr="001B0CFF">
        <w:rPr>
          <w:sz w:val="20"/>
          <w:szCs w:val="20"/>
        </w:rPr>
        <w:instrText>FORMTEXT</w:instrText>
      </w:r>
      <w:r w:rsidRPr="001B0CFF">
        <w:rPr>
          <w:sz w:val="20"/>
          <w:szCs w:val="20"/>
        </w:rPr>
      </w:r>
      <w:r w:rsidRPr="001B0CFF">
        <w:rPr>
          <w:sz w:val="20"/>
          <w:szCs w:val="20"/>
        </w:rPr>
        <w:fldChar w:fldCharType="separate"/>
      </w:r>
      <w:bookmarkStart w:id="11" w:name="__Fieldmark__307_581231114"/>
      <w:bookmarkStart w:id="12" w:name="Texto111"/>
      <w:bookmarkEnd w:id="11"/>
      <w:r w:rsidRPr="001B0CFF">
        <w:rPr>
          <w:rFonts w:ascii="Calibri" w:hAnsi="Calibri"/>
          <w:sz w:val="20"/>
          <w:szCs w:val="20"/>
        </w:rPr>
        <w:t>     </w:t>
      </w:r>
      <w:r w:rsidRPr="001B0CFF">
        <w:rPr>
          <w:sz w:val="20"/>
          <w:szCs w:val="20"/>
        </w:rPr>
        <w:fldChar w:fldCharType="end"/>
      </w:r>
      <w:bookmarkEnd w:id="12"/>
      <w:r w:rsidRPr="001B0CFF">
        <w:rPr>
          <w:rFonts w:ascii="Calibri" w:hAnsi="Calibri"/>
          <w:sz w:val="20"/>
          <w:szCs w:val="20"/>
        </w:rPr>
        <w:t>(e)</w:t>
      </w:r>
      <w:proofErr w:type="spellStart"/>
      <w:r w:rsidRPr="001B0CFF">
        <w:rPr>
          <w:rFonts w:ascii="Calibri" w:hAnsi="Calibri"/>
          <w:sz w:val="20"/>
          <w:szCs w:val="20"/>
        </w:rPr>
        <w:t>an</w:t>
      </w:r>
      <w:proofErr w:type="spellEnd"/>
    </w:p>
    <w:p w:rsidR="001C194A" w:rsidRPr="001B0CFF" w:rsidRDefault="001C194A">
      <w:pPr>
        <w:rPr>
          <w:rFonts w:ascii="Calibri" w:hAnsi="Calibri"/>
          <w:sz w:val="20"/>
          <w:szCs w:val="20"/>
        </w:rPr>
      </w:pPr>
    </w:p>
    <w:p w:rsidR="00940061" w:rsidRPr="001B0CFF" w:rsidRDefault="00940061">
      <w:pPr>
        <w:jc w:val="center"/>
        <w:rPr>
          <w:rFonts w:ascii="Calibri" w:hAnsi="Calibri"/>
          <w:sz w:val="20"/>
          <w:szCs w:val="20"/>
        </w:rPr>
      </w:pPr>
    </w:p>
    <w:p w:rsidR="00940061" w:rsidRPr="001B0CFF" w:rsidRDefault="00940061">
      <w:pPr>
        <w:jc w:val="center"/>
        <w:rPr>
          <w:rFonts w:ascii="Calibri" w:hAnsi="Calibri"/>
          <w:sz w:val="20"/>
          <w:szCs w:val="20"/>
        </w:rPr>
      </w:pPr>
    </w:p>
    <w:p w:rsidR="00CA2C92" w:rsidRPr="001B0CFF" w:rsidRDefault="00CA2C92">
      <w:pPr>
        <w:jc w:val="center"/>
        <w:rPr>
          <w:rFonts w:ascii="Calibri" w:hAnsi="Calibri"/>
          <w:sz w:val="20"/>
          <w:szCs w:val="20"/>
        </w:rPr>
      </w:pPr>
    </w:p>
    <w:p w:rsidR="00CA2C92" w:rsidRDefault="00ED6953" w:rsidP="00CA2C92">
      <w:pPr>
        <w:jc w:val="center"/>
        <w:rPr>
          <w:rFonts w:ascii="Calibri" w:hAnsi="Calibri"/>
          <w:sz w:val="20"/>
          <w:szCs w:val="20"/>
        </w:rPr>
      </w:pPr>
      <w:r w:rsidRPr="001B0CFF">
        <w:rPr>
          <w:rFonts w:ascii="Calibri" w:hAnsi="Calibri"/>
          <w:sz w:val="20"/>
          <w:szCs w:val="20"/>
        </w:rPr>
        <w:t xml:space="preserve">RESPONSABLE </w:t>
      </w:r>
      <w:r w:rsidR="00BE3538" w:rsidRPr="001B0CFF">
        <w:rPr>
          <w:rFonts w:ascii="Calibri" w:hAnsi="Calibri"/>
          <w:sz w:val="20"/>
          <w:szCs w:val="20"/>
        </w:rPr>
        <w:t>DE LA UNIDAD FUNCIONAL DE GASTO</w:t>
      </w:r>
      <w:r w:rsidRPr="001B0CFF">
        <w:rPr>
          <w:rFonts w:ascii="Calibri" w:hAnsi="Calibri"/>
          <w:sz w:val="20"/>
          <w:szCs w:val="20"/>
        </w:rPr>
        <w:t xml:space="preserve"> /</w:t>
      </w:r>
      <w:r w:rsidR="00BE3538" w:rsidRPr="001B0CFF">
        <w:rPr>
          <w:rFonts w:ascii="Calibri" w:hAnsi="Calibri"/>
          <w:sz w:val="20"/>
          <w:szCs w:val="20"/>
        </w:rPr>
        <w:t>GASTU UNITATE FUNTZIONALEKO ARDURADUNA</w:t>
      </w:r>
    </w:p>
    <w:p w:rsidR="001B0CFF" w:rsidRDefault="001B0CFF" w:rsidP="00CA2C92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9"/>
        <w:gridCol w:w="3030"/>
        <w:gridCol w:w="3030"/>
      </w:tblGrid>
      <w:tr w:rsidR="00DD56B4" w:rsidTr="00DD56B4">
        <w:tc>
          <w:tcPr>
            <w:tcW w:w="3029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Orgánica/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Organikoa</w:t>
            </w:r>
            <w:proofErr w:type="spellEnd"/>
          </w:p>
        </w:tc>
        <w:tc>
          <w:tcPr>
            <w:tcW w:w="3030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Funcional/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Funtzionala</w:t>
            </w:r>
            <w:proofErr w:type="spellEnd"/>
          </w:p>
        </w:tc>
        <w:tc>
          <w:tcPr>
            <w:tcW w:w="3030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Económica/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Ekonomikoa</w:t>
            </w:r>
            <w:proofErr w:type="spellEnd"/>
          </w:p>
        </w:tc>
      </w:tr>
      <w:tr w:rsidR="00DD56B4" w:rsidTr="00DD56B4">
        <w:tc>
          <w:tcPr>
            <w:tcW w:w="3029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0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0" w:type="dxa"/>
          </w:tcPr>
          <w:p w:rsidR="00DD56B4" w:rsidRDefault="00DD56B4" w:rsidP="00CA2C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B0CFF" w:rsidRPr="001B0CFF" w:rsidRDefault="001B0CFF" w:rsidP="00CA2C92">
      <w:pPr>
        <w:jc w:val="center"/>
        <w:rPr>
          <w:rFonts w:ascii="Calibri" w:hAnsi="Calibri"/>
          <w:sz w:val="20"/>
          <w:szCs w:val="20"/>
        </w:rPr>
      </w:pPr>
    </w:p>
    <w:p w:rsidR="00CA2C92" w:rsidRPr="001B0CFF" w:rsidRDefault="00CA2C92">
      <w:pPr>
        <w:suppressAutoHyphens w:val="0"/>
        <w:rPr>
          <w:rFonts w:ascii="Calibri" w:hAnsi="Calibri"/>
          <w:sz w:val="22"/>
          <w:szCs w:val="22"/>
        </w:rPr>
      </w:pPr>
      <w:r w:rsidRPr="001B0CFF">
        <w:rPr>
          <w:rFonts w:ascii="Calibri" w:hAnsi="Calibri"/>
          <w:sz w:val="22"/>
          <w:szCs w:val="22"/>
        </w:rPr>
        <w:br w:type="page"/>
      </w:r>
    </w:p>
    <w:p w:rsidR="00CA2C92" w:rsidRDefault="00CA2C92" w:rsidP="00CA2C92">
      <w:pPr>
        <w:jc w:val="center"/>
        <w:rPr>
          <w:rFonts w:ascii="Calibri" w:hAnsi="Calibri"/>
          <w:i/>
          <w:sz w:val="22"/>
          <w:szCs w:val="22"/>
        </w:rPr>
      </w:pP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BC76FC" w:rsidTr="004F6856">
        <w:tc>
          <w:tcPr>
            <w:tcW w:w="5104" w:type="dxa"/>
          </w:tcPr>
          <w:tbl>
            <w:tblPr>
              <w:tblW w:w="85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C76FC" w:rsidRPr="00B47463" w:rsidTr="004F6856">
              <w:trPr>
                <w:trHeight w:val="94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C76FC" w:rsidRPr="00B47463" w:rsidRDefault="00BC76FC" w:rsidP="00F9189E">
                  <w:pPr>
                    <w:ind w:right="3719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br w:type="page"/>
                  </w:r>
                  <w:r w:rsidRPr="00B47463">
                    <w:rPr>
                      <w:rFonts w:ascii="Arial" w:hAnsi="Arial" w:cs="Arial"/>
                      <w:b/>
                      <w:bCs/>
                      <w:color w:val="000000"/>
                    </w:rPr>
                    <w:t>CONDICIONES GENERALES DE COMPRA</w:t>
                  </w:r>
                </w:p>
              </w:tc>
            </w:tr>
            <w:tr w:rsidR="00BC76FC" w:rsidRPr="00B47463" w:rsidTr="004F6856">
              <w:trPr>
                <w:trHeight w:val="142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La aceptación de un pedido de la UPNA lleva consigo por parte del Proveedor, la renuncia a todas las condiciones de </w:t>
                  </w:r>
                  <w:r w:rsidR="00DE1895"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venta impresa, manuscrita o mecanografiada</w:t>
                  </w: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en sus documentos, que sean contrarias a las condiciones de la Universidad salvo que aquellas hubieran sido </w:t>
                  </w:r>
                  <w:r w:rsidR="00DE1895"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aceptadas</w:t>
                  </w: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por la misma.</w:t>
                  </w:r>
                </w:p>
              </w:tc>
            </w:tr>
            <w:tr w:rsidR="00BC76FC" w:rsidRPr="00B47463" w:rsidTr="004F6856">
              <w:trPr>
                <w:trHeight w:val="97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 mercancía deberá enviarse acompañada del correspondiente albarán, debidamente valorado o nota de entrega, en el que se indicará el número de pedido, así como los artículos servidos con los códigos señalados en el pedido.</w:t>
                  </w:r>
                </w:p>
              </w:tc>
            </w:tr>
            <w:tr w:rsidR="00BC76FC" w:rsidRPr="00B47463" w:rsidTr="004F6856">
              <w:trPr>
                <w:trHeight w:val="70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 Universidad se reserva el derecho de devolver a su procedencia, a porte debido, todos aquellos materiales que no puedan ser debidamente identificados.</w:t>
                  </w:r>
                </w:p>
              </w:tc>
            </w:tr>
            <w:tr w:rsidR="00BC76FC" w:rsidRPr="00B47463" w:rsidTr="004F6856">
              <w:trPr>
                <w:trHeight w:val="118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La entrega de la mercancía no significa la aceptación de la misma. La aceptación definitiva de la misma habrá de formularla después de los correspondientes controles </w:t>
                  </w:r>
                  <w:r w:rsidR="00DE1895"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 calidad</w:t>
                  </w: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 cantidad y se considerará tácitamente efectuada de no mediar reclamación expresa al Proveedor.</w:t>
                  </w:r>
                </w:p>
              </w:tc>
            </w:tr>
            <w:tr w:rsidR="00BC76FC" w:rsidRPr="00B47463" w:rsidTr="004F6856">
              <w:trPr>
                <w:trHeight w:val="118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 denuncia de diferencias en cantidad o vicios externos podrá efectuarse dentro del plazo de 30 días, a contar desde la fecha de recepción de la mercancía. La denuncia de los vicios ocultos podrá plantearse dentro del plazo de un año incluso aunque la factura correspondiente estuviera pagada.</w:t>
                  </w:r>
                </w:p>
              </w:tc>
            </w:tr>
            <w:tr w:rsidR="00BC76FC" w:rsidRPr="00B47463" w:rsidTr="004F6856">
              <w:trPr>
                <w:trHeight w:val="46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En el caso de considerar el material como defectuoso, la Universidad podrá:</w:t>
                  </w:r>
                </w:p>
              </w:tc>
            </w:tr>
            <w:tr w:rsidR="00BC76FC" w:rsidRPr="00B47463" w:rsidTr="004F6856">
              <w:trPr>
                <w:trHeight w:val="46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a) Rechazar el material para que sea repuesto por la misma cantidad, en las condiciones correctas de calidad.</w:t>
                  </w:r>
                </w:p>
              </w:tc>
            </w:tr>
            <w:tr w:rsidR="00BC76FC" w:rsidRPr="00B47463" w:rsidTr="004F6856">
              <w:trPr>
                <w:trHeight w:val="1380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b) Rechazar el material, sin derecho a reposición por parte del Proveedor, cuando los defectos comprobados fueran de tal naturaleza que no permitieran recomponer la mercancía con las cualidades y garantías siguientes o cuando no fuera aconsejable su reposición por comprobarse la falta de solvencia técnica o comercial del Proveedor.</w:t>
                  </w:r>
                </w:p>
              </w:tc>
            </w:tr>
            <w:tr w:rsidR="00BC76FC" w:rsidRPr="00B47463" w:rsidTr="004F6856">
              <w:trPr>
                <w:trHeight w:val="720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Los materiales rechazados quedarán a disposición del Proveedor, siendo de su cuenta y riesgo las operaciones y gastos de transporte, descarga y carga de la mercancía.</w:t>
                  </w:r>
                </w:p>
              </w:tc>
            </w:tr>
            <w:tr w:rsidR="00BC76FC" w:rsidRPr="00B47463" w:rsidTr="004F6856">
              <w:trPr>
                <w:trHeight w:val="705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Otro tanto debe entenderse respecto a los materiales entregados en exceso sobre la cantidad señalada en el pedido.</w:t>
                  </w:r>
                </w:p>
              </w:tc>
            </w:tr>
            <w:tr w:rsidR="00BC76FC" w:rsidRPr="00B47463" w:rsidTr="00596F12">
              <w:trPr>
                <w:trHeight w:val="1883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596F12" w:rsidRDefault="00596F12" w:rsidP="00596F12">
                  <w:pPr>
                    <w:pStyle w:val="NormalWeb"/>
                    <w:spacing w:before="0" w:beforeAutospacing="0" w:after="0" w:afterAutospacing="0"/>
                    <w:ind w:right="372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 factura tendrá formato electrónico y deberá ser</w:t>
                  </w:r>
                  <w:r w:rsidR="00DE1895"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presentada</w:t>
                  </w:r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 través del Punto General de Entrada de Facturas Electrónicas (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FACe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) del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MinHAP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cumpliendo la legislación existente y la normativa desarrollada por la Universidad Pública de Navarra.</w:t>
                  </w:r>
                </w:p>
                <w:p w:rsidR="00596F12" w:rsidRDefault="00596F12" w:rsidP="00596F12">
                  <w:pPr>
                    <w:pStyle w:val="NormalWeb"/>
                    <w:spacing w:before="0" w:beforeAutospacing="0" w:after="0" w:afterAutospacing="0"/>
                    <w:ind w:right="372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596F12" w:rsidRDefault="00596F12" w:rsidP="00596F12">
                  <w:pPr>
                    <w:pStyle w:val="NormalWeb"/>
                    <w:spacing w:before="0" w:beforeAutospacing="0" w:after="0" w:afterAutospacing="0"/>
                    <w:ind w:right="372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596F12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Las facturas irán siempre contra un solo pedido y por albaranes completos no atendiéndose ninguna factura, que no cumpla este requisito.</w:t>
                  </w:r>
                </w:p>
              </w:tc>
            </w:tr>
            <w:tr w:rsidR="00BC76FC" w:rsidRPr="00B47463" w:rsidTr="004F6856">
              <w:trPr>
                <w:trHeight w:val="930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Pr="00B47463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En caso de incumplimiento del plazo de entrega, esta Sección se r</w:t>
                  </w:r>
                  <w:r w:rsidR="00154CE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eserva el derecho de considerar</w:t>
                  </w: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anulado el pedido, bastando para ello la comunicación al Proveedor de esta circunstancia.</w:t>
                  </w:r>
                </w:p>
              </w:tc>
            </w:tr>
            <w:tr w:rsidR="00BC76FC" w:rsidRPr="00B47463" w:rsidTr="004F6856">
              <w:trPr>
                <w:trHeight w:val="454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C76FC" w:rsidRDefault="00BC76F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Todos los pedidos se suministrarán libres de portes y embalajes.</w:t>
                  </w:r>
                </w:p>
                <w:p w:rsidR="00EC0D5C" w:rsidRDefault="00EC0D5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EC0D5C" w:rsidRPr="00B47463" w:rsidRDefault="00EC0D5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 medio de pago será transferencia bancaria</w:t>
                  </w:r>
                </w:p>
              </w:tc>
            </w:tr>
            <w:tr w:rsidR="00EC0D5C" w:rsidRPr="00B47463" w:rsidTr="004F6856">
              <w:trPr>
                <w:trHeight w:val="454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:rsidR="00EC0D5C" w:rsidRPr="00B47463" w:rsidRDefault="00EC0D5C" w:rsidP="004F6856">
                  <w:pPr>
                    <w:ind w:right="3719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C76FC" w:rsidRDefault="00BC76FC" w:rsidP="004F6856">
            <w:pPr>
              <w:ind w:right="3719"/>
            </w:pPr>
          </w:p>
        </w:tc>
        <w:tc>
          <w:tcPr>
            <w:tcW w:w="4961" w:type="dxa"/>
          </w:tcPr>
          <w:tbl>
            <w:tblPr>
              <w:tblW w:w="4780" w:type="dxa"/>
              <w:tblInd w:w="1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0"/>
            </w:tblGrid>
            <w:tr w:rsidR="00BC76FC" w:rsidRPr="00B47463" w:rsidTr="004F6856">
              <w:trPr>
                <w:trHeight w:val="94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B47463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EROSKETA-BALDINTZA OROKORRAK</w:t>
                  </w:r>
                </w:p>
              </w:tc>
            </w:tr>
            <w:tr w:rsidR="00BC76FC" w:rsidRPr="00B47463" w:rsidTr="004F6856">
              <w:trPr>
                <w:trHeight w:val="142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NUPeko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bat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onartzeak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berarekin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dakar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Hornitzailearen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agirietan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eskuz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nahiz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makinaz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idatzita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agertzen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salmenta-baldintza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guztiei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baldin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Unibertsitatearen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baldintza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orokorren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nahiz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partikularren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aurkakoak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Unibertsitateak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onartutakoak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izan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ezean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97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igorri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bezala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balioetsitako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albareanekin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nahiz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emate-agiriarekin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batera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bertan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agertu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eskaera-zenbakia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zerbitzatutako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artikuluak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xehetutako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kodeekin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batera.</w:t>
                  </w:r>
                </w:p>
              </w:tc>
            </w:tr>
            <w:tr w:rsidR="00BC76FC" w:rsidRPr="00B47463" w:rsidTr="004F6856">
              <w:trPr>
                <w:trHeight w:val="70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Unibertsitateak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bezala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identifikatu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materialak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jatorrira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inoren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kontura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itzultzeko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eskubidea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berarentzat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gordetzen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du.</w:t>
                  </w:r>
                </w:p>
              </w:tc>
            </w:tr>
            <w:tr w:rsidR="00BC76FC" w:rsidRPr="00B47463" w:rsidTr="004F6856">
              <w:trPr>
                <w:trHeight w:val="118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entregatzeak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dakar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onartua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betiko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onarpena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aurrerago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egingo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kalitate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kantitate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kontrolak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ondoren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tazituki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egina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izango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Hornitzaileari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erreklamazioa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egiten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bazaio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118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jasotzen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denetik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30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eguneko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epearen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barruan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salatu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ahalko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kantitateen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diferentziak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eta</w:t>
                  </w:r>
                  <w:proofErr w:type="gram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ageriko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akatsak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Agerian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akatsen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salaketa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urte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bateko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epearen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barruan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ahalko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dagokion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faktura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ordainduta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badago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ere.</w:t>
                  </w:r>
                </w:p>
              </w:tc>
            </w:tr>
            <w:tr w:rsidR="00BC76FC" w:rsidRPr="00B47463" w:rsidTr="004F6856">
              <w:trPr>
                <w:trHeight w:val="46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Materialak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akatsak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dituela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uste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izanez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gero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Unibertsitateak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ondokoak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erabaki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ahalko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ditu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</w:tr>
            <w:tr w:rsidR="00BC76FC" w:rsidRPr="00B47463" w:rsidTr="004F6856">
              <w:trPr>
                <w:trHeight w:val="46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a) Material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gaitzestea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kalitate-baldintza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egokietan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kantitate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berean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ordezkatua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izan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dadin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138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b) Material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gaitzestea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Hornitzaileak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berriz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eskubiderik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izan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gabe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baldin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aurkitzen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akatsen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izaeragatik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bada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konpondu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bezalako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kualitate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bermeekin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edo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berriz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gomendagarria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bada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teknikaren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merkataritzaren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alorretan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Hornitzilearen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ezintasuna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egiaztatzen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delako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72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Gaitzetsiriko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materialak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hornitzailearen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geldituko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kargura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izango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salgaiaren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garraioa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karga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deskarga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70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Gauza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gertatuko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zehaztutako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kopuruaren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gainetik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materialekin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67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596F12" w:rsidRDefault="00596F12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Fakturak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formatu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elektronikoa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izan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du, eta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Ogasun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Administrazio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Publikoetako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Ministerioaren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faktura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elektronikoen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sargune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orokorraren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FACe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bidez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aurkeztu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behar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da,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indarrean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den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legeria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Nafarroako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Unibertsitate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Publikoak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garatutako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araudia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betez</w:t>
                  </w:r>
                  <w:proofErr w:type="spellEnd"/>
                  <w:r w:rsidRPr="00596F1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596F12" w:rsidRDefault="00596F12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C76FC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Faktura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bakar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baten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kargura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albaran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osoarekin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aurkeztuko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da. Ez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onartuko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balditza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hau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betetzen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duten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fakturak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596F12" w:rsidRPr="00B47463" w:rsidRDefault="00596F12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76FC" w:rsidRPr="00B47463" w:rsidTr="004F6856">
              <w:trPr>
                <w:trHeight w:val="93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Pr="00B47463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Materiala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epea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betezen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ez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bada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Atal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honek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deuseztatzeko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eskubidea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berarentzat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gordetzen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du,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horretarako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aski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izango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Hornitzaileari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horren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berri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ematea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C76FC" w:rsidRPr="00B47463" w:rsidTr="004F6856">
              <w:trPr>
                <w:trHeight w:val="454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C76FC" w:rsidRDefault="00BC76F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Eskaera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guztiak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garraio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enbalaien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kargurik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gabe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hornituko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dira</w:t>
                  </w:r>
                  <w:proofErr w:type="spellEnd"/>
                  <w:r w:rsidRPr="00B4746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EC0D5C" w:rsidRDefault="00EC0D5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EC0D5C" w:rsidRPr="00B47463" w:rsidRDefault="00EC0D5C" w:rsidP="004F6856">
                  <w:pPr>
                    <w:ind w:left="175" w:right="458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Banku-transferentziaren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bidez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ordainduko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</w:t>
                  </w:r>
                </w:p>
              </w:tc>
            </w:tr>
          </w:tbl>
          <w:p w:rsidR="00BC76FC" w:rsidRDefault="00BC76FC" w:rsidP="004F6856">
            <w:pPr>
              <w:ind w:left="175" w:right="626"/>
            </w:pPr>
          </w:p>
        </w:tc>
      </w:tr>
    </w:tbl>
    <w:p w:rsidR="00BC76FC" w:rsidRDefault="00BC76FC">
      <w:pPr>
        <w:suppressAutoHyphens w:val="0"/>
        <w:rPr>
          <w:rFonts w:ascii="Calibri" w:hAnsi="Calibri"/>
          <w:i/>
          <w:sz w:val="22"/>
          <w:szCs w:val="22"/>
        </w:rPr>
      </w:pPr>
    </w:p>
    <w:sectPr w:rsidR="00BC76FC" w:rsidSect="00940061">
      <w:headerReference w:type="default" r:id="rId9"/>
      <w:pgSz w:w="11906" w:h="16838"/>
      <w:pgMar w:top="1417" w:right="1106" w:bottom="426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E9" w:rsidRDefault="00ED6953">
      <w:r>
        <w:separator/>
      </w:r>
    </w:p>
  </w:endnote>
  <w:endnote w:type="continuationSeparator" w:id="0">
    <w:p w:rsidR="008253E9" w:rsidRDefault="00E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E9" w:rsidRDefault="00ED6953">
      <w:r>
        <w:separator/>
      </w:r>
    </w:p>
  </w:footnote>
  <w:footnote w:type="continuationSeparator" w:id="0">
    <w:p w:rsidR="008253E9" w:rsidRDefault="00ED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4A" w:rsidRDefault="00DE1895">
    <w:pPr>
      <w:pStyle w:val="Encabezamiento"/>
      <w:jc w:val="right"/>
    </w:pPr>
    <w:r>
      <w:rPr>
        <w:noProof/>
      </w:rPr>
      <w:drawing>
        <wp:inline distT="0" distB="0" distL="0" distR="0">
          <wp:extent cx="753756" cy="396055"/>
          <wp:effectExtent l="0" t="0" r="8255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A_300ppp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39" cy="405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4A"/>
    <w:rsid w:val="00154CE6"/>
    <w:rsid w:val="001B0CFF"/>
    <w:rsid w:val="001C194A"/>
    <w:rsid w:val="003764F4"/>
    <w:rsid w:val="00396269"/>
    <w:rsid w:val="003F0ED3"/>
    <w:rsid w:val="005011DE"/>
    <w:rsid w:val="00535DDE"/>
    <w:rsid w:val="00596F12"/>
    <w:rsid w:val="005F47D3"/>
    <w:rsid w:val="0061612D"/>
    <w:rsid w:val="006337D8"/>
    <w:rsid w:val="006F154C"/>
    <w:rsid w:val="007B5126"/>
    <w:rsid w:val="007B6A55"/>
    <w:rsid w:val="008239C4"/>
    <w:rsid w:val="008253E9"/>
    <w:rsid w:val="00883C9F"/>
    <w:rsid w:val="00940061"/>
    <w:rsid w:val="00A01324"/>
    <w:rsid w:val="00A34EF8"/>
    <w:rsid w:val="00A47DBF"/>
    <w:rsid w:val="00A5515E"/>
    <w:rsid w:val="00AC04B0"/>
    <w:rsid w:val="00BC76FC"/>
    <w:rsid w:val="00BE3538"/>
    <w:rsid w:val="00C64E75"/>
    <w:rsid w:val="00CA2C92"/>
    <w:rsid w:val="00CC13C1"/>
    <w:rsid w:val="00D26FAB"/>
    <w:rsid w:val="00D41C6A"/>
    <w:rsid w:val="00D56497"/>
    <w:rsid w:val="00DD56B4"/>
    <w:rsid w:val="00DE1895"/>
    <w:rsid w:val="00E23DB7"/>
    <w:rsid w:val="00EA3540"/>
    <w:rsid w:val="00EC0D5C"/>
    <w:rsid w:val="00ED6953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A9EE12-3BC2-4861-BF8A-904BFAB6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rsid w:val="00325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4F68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F685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250A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0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D695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ED695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96F12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unavarra.es/gesadj/VPortalTransparencia/ServicioAAEE/DireccionServicio/CONDICIONES%20GENERALES%20DE%20COMPRA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electronica.unavarra.es/sede/catalogo-de-procedimientos/todos/factura-electron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89FB-3CB8-461F-89E1-264D201E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1136</Words>
  <Characters>6252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rosana.urtasun</dc:creator>
  <cp:lastModifiedBy>Rosana Urtasun</cp:lastModifiedBy>
  <cp:revision>2</cp:revision>
  <cp:lastPrinted>2017-02-08T07:52:00Z</cp:lastPrinted>
  <dcterms:created xsi:type="dcterms:W3CDTF">2018-12-21T09:08:00Z</dcterms:created>
  <dcterms:modified xsi:type="dcterms:W3CDTF">2018-12-21T09:08:00Z</dcterms:modified>
  <dc:language>es-ES</dc:language>
</cp:coreProperties>
</file>